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5003C" w14:textId="77777777" w:rsidR="001D6967" w:rsidRDefault="002F466B">
      <w:pPr>
        <w:spacing w:after="240"/>
        <w:jc w:val="center"/>
      </w:pPr>
      <w:r>
        <w:rPr>
          <w:noProof/>
        </w:rPr>
        <w:drawing>
          <wp:inline distT="0" distB="0" distL="0" distR="0" wp14:anchorId="58B8490B" wp14:editId="30D70BBB">
            <wp:extent cx="5943600" cy="3121163"/>
            <wp:effectExtent l="0" t="0" r="0" b="0"/>
            <wp:docPr id="1" name="Picture 1" descr="Portada del Índice de Precios CEPM de julio de 2026: variación de 6,05% en una canasta testigo de 22 produc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portada-gacetilla.png"/>
                    <pic:cNvPicPr/>
                  </pic:nvPicPr>
                  <pic:blipFill>
                    <a:blip r:embed="rId8"/>
                    <a:stretch>
                      <a:fillRect/>
                    </a:stretch>
                  </pic:blipFill>
                  <pic:spPr>
                    <a:xfrm>
                      <a:off x="0" y="0"/>
                      <a:ext cx="5943600" cy="3121163"/>
                    </a:xfrm>
                    <a:prstGeom prst="rect">
                      <a:avLst/>
                    </a:prstGeom>
                  </pic:spPr>
                </pic:pic>
              </a:graphicData>
            </a:graphic>
          </wp:inline>
        </w:drawing>
      </w:r>
    </w:p>
    <w:p w14:paraId="2326DA56" w14:textId="77777777" w:rsidR="001D6967" w:rsidRPr="00A35814" w:rsidRDefault="002F466B">
      <w:pPr>
        <w:spacing w:after="60"/>
        <w:rPr>
          <w:lang w:val="es-AR"/>
        </w:rPr>
      </w:pPr>
      <w:r w:rsidRPr="00A35814">
        <w:rPr>
          <w:b/>
          <w:color w:val="253D5F"/>
          <w:sz w:val="19"/>
          <w:lang w:val="es-AR"/>
        </w:rPr>
        <w:t>GACETILLA DE PRENSA</w:t>
      </w:r>
    </w:p>
    <w:p w14:paraId="2492D53C" w14:textId="77777777" w:rsidR="001D6967" w:rsidRPr="00A35814" w:rsidRDefault="002F466B">
      <w:pPr>
        <w:keepNext/>
        <w:rPr>
          <w:lang w:val="es-AR"/>
        </w:rPr>
      </w:pPr>
      <w:r w:rsidRPr="00A35814">
        <w:rPr>
          <w:b/>
          <w:color w:val="1A2E4A"/>
          <w:sz w:val="40"/>
          <w:lang w:val="es-AR"/>
        </w:rPr>
        <w:t>EL CEPM PRESENTÓ SU PRIMERA MEDICIÓN DE PRECIOS LOCALES EN 9 DE JULIO</w:t>
      </w:r>
    </w:p>
    <w:p w14:paraId="300B16EB" w14:textId="77777777" w:rsidR="001D6967" w:rsidRPr="00A35814" w:rsidRDefault="002F466B">
      <w:pPr>
        <w:pBdr>
          <w:left w:val="single" w:sz="22" w:space="10" w:color="A8CE50"/>
        </w:pBdr>
        <w:shd w:val="clear" w:color="auto" w:fill="F2F7E7"/>
        <w:spacing w:before="80" w:after="280" w:line="276" w:lineRule="auto"/>
        <w:ind w:left="259" w:right="173"/>
        <w:rPr>
          <w:lang w:val="es-AR"/>
        </w:rPr>
      </w:pPr>
      <w:r w:rsidRPr="00A35814">
        <w:rPr>
          <w:b/>
          <w:color w:val="1A2E4A"/>
          <w:sz w:val="23"/>
          <w:lang w:val="es-AR"/>
        </w:rPr>
        <w:t>La canasta testigo de 22 productos registró una variación de +6,05% entre junio y julio de 2026. El relevamiento se realizará mensualmente para construir una serie local de precios.</w:t>
      </w:r>
    </w:p>
    <w:p w14:paraId="347B1116" w14:textId="77777777" w:rsidR="001D6967" w:rsidRPr="00A35814" w:rsidRDefault="002F466B">
      <w:pPr>
        <w:rPr>
          <w:lang w:val="es-AR"/>
        </w:rPr>
      </w:pPr>
      <w:r w:rsidRPr="00A35814">
        <w:rPr>
          <w:b/>
          <w:color w:val="1A2E4A"/>
          <w:lang w:val="es-AR"/>
        </w:rPr>
        <w:t xml:space="preserve">9 de Julio, agosto de 2026.- </w:t>
      </w:r>
      <w:r w:rsidRPr="00A35814">
        <w:rPr>
          <w:lang w:val="es-AR"/>
        </w:rPr>
        <w:t>El Centro de Estudios de Políticas Municipales (CEPM) presentó la primera medición de su Índice de Precios, una herramienta de seguimiento elaborada para conocer la evolución mensual de una canasta testigo de productos de consumo cotidiano en 9 de Julio.</w:t>
      </w:r>
    </w:p>
    <w:p w14:paraId="704B390E" w14:textId="77777777" w:rsidR="001D6967" w:rsidRPr="00A35814" w:rsidRDefault="002F466B">
      <w:pPr>
        <w:spacing w:after="160"/>
        <w:rPr>
          <w:lang w:val="es-AR"/>
        </w:rPr>
      </w:pPr>
      <w:r w:rsidRPr="00A35814">
        <w:rPr>
          <w:lang w:val="es-AR"/>
        </w:rPr>
        <w:t>De acuerdo con el relevamiento, la canasta integrada por 22 productos registró una variación de +6,05% entre junio y julio de 2026.</w:t>
      </w:r>
    </w:p>
    <w:p w14:paraId="10D8B38B" w14:textId="77777777" w:rsidR="001D6967" w:rsidRDefault="002F466B">
      <w:pPr>
        <w:pStyle w:val="Ttulo1"/>
      </w:pPr>
      <w:r>
        <w:t>Los productos con mayores aumentos</w:t>
      </w:r>
    </w:p>
    <w:tbl>
      <w:tblPr>
        <w:tblStyle w:val="Tablaconcuadrcula"/>
        <w:tblW w:w="9360" w:type="dxa"/>
        <w:tblInd w:w="120" w:type="dxa"/>
        <w:tblLayout w:type="fixed"/>
        <w:tblLook w:val="04A0" w:firstRow="1" w:lastRow="0" w:firstColumn="1" w:lastColumn="0" w:noHBand="0" w:noVBand="1"/>
      </w:tblPr>
      <w:tblGrid>
        <w:gridCol w:w="6800"/>
        <w:gridCol w:w="2560"/>
      </w:tblGrid>
      <w:tr w:rsidR="001D6967" w14:paraId="4DB20E70" w14:textId="77777777">
        <w:trPr>
          <w:tblHeader/>
        </w:trPr>
        <w:tc>
          <w:tcPr>
            <w:tcW w:w="6800" w:type="dxa"/>
            <w:shd w:val="clear" w:color="auto" w:fill="1A2E4A"/>
            <w:tcMar>
              <w:top w:w="100" w:type="dxa"/>
              <w:left w:w="140" w:type="dxa"/>
              <w:bottom w:w="100" w:type="dxa"/>
              <w:right w:w="140" w:type="dxa"/>
            </w:tcMar>
            <w:vAlign w:val="center"/>
          </w:tcPr>
          <w:p w14:paraId="646C8CDF" w14:textId="77777777" w:rsidR="001D6967" w:rsidRDefault="002F466B">
            <w:pPr>
              <w:spacing w:after="0"/>
            </w:pPr>
            <w:r>
              <w:rPr>
                <w:b/>
                <w:color w:val="FFFFFF"/>
                <w:sz w:val="21"/>
              </w:rPr>
              <w:t>Producto</w:t>
            </w:r>
          </w:p>
        </w:tc>
        <w:tc>
          <w:tcPr>
            <w:tcW w:w="2560" w:type="dxa"/>
            <w:shd w:val="clear" w:color="auto" w:fill="1A2E4A"/>
            <w:tcMar>
              <w:top w:w="100" w:type="dxa"/>
              <w:left w:w="140" w:type="dxa"/>
              <w:bottom w:w="100" w:type="dxa"/>
              <w:right w:w="140" w:type="dxa"/>
            </w:tcMar>
            <w:vAlign w:val="center"/>
          </w:tcPr>
          <w:p w14:paraId="33653BC0" w14:textId="77777777" w:rsidR="001D6967" w:rsidRDefault="002F466B">
            <w:pPr>
              <w:spacing w:after="0"/>
            </w:pPr>
            <w:r>
              <w:rPr>
                <w:b/>
                <w:color w:val="FFFFFF"/>
                <w:sz w:val="21"/>
              </w:rPr>
              <w:t>Variación</w:t>
            </w:r>
          </w:p>
        </w:tc>
      </w:tr>
      <w:tr w:rsidR="001D6967" w14:paraId="09E9DC26" w14:textId="77777777">
        <w:tc>
          <w:tcPr>
            <w:tcW w:w="6800" w:type="dxa"/>
            <w:shd w:val="clear" w:color="auto" w:fill="F2F7E7"/>
            <w:tcMar>
              <w:top w:w="100" w:type="dxa"/>
              <w:left w:w="140" w:type="dxa"/>
              <w:bottom w:w="100" w:type="dxa"/>
              <w:right w:w="140" w:type="dxa"/>
            </w:tcMar>
            <w:vAlign w:val="center"/>
          </w:tcPr>
          <w:p w14:paraId="42E0C8C9" w14:textId="77777777" w:rsidR="001D6967" w:rsidRDefault="002F466B">
            <w:pPr>
              <w:spacing w:after="0"/>
            </w:pPr>
            <w:r>
              <w:rPr>
                <w:b/>
                <w:color w:val="1A2E4A"/>
                <w:sz w:val="21"/>
              </w:rPr>
              <w:t>Papa</w:t>
            </w:r>
          </w:p>
        </w:tc>
        <w:tc>
          <w:tcPr>
            <w:tcW w:w="2560" w:type="dxa"/>
            <w:shd w:val="clear" w:color="auto" w:fill="F2F7E7"/>
            <w:tcMar>
              <w:top w:w="100" w:type="dxa"/>
              <w:left w:w="140" w:type="dxa"/>
              <w:bottom w:w="100" w:type="dxa"/>
              <w:right w:w="140" w:type="dxa"/>
            </w:tcMar>
            <w:vAlign w:val="center"/>
          </w:tcPr>
          <w:p w14:paraId="4483A8A7" w14:textId="77777777" w:rsidR="001D6967" w:rsidRDefault="002F466B">
            <w:pPr>
              <w:spacing w:after="0"/>
              <w:jc w:val="right"/>
            </w:pPr>
            <w:r>
              <w:rPr>
                <w:b/>
                <w:color w:val="1A2E4A"/>
                <w:sz w:val="21"/>
              </w:rPr>
              <w:t>+51,66%</w:t>
            </w:r>
          </w:p>
        </w:tc>
      </w:tr>
      <w:tr w:rsidR="001D6967" w14:paraId="605AA4AE" w14:textId="77777777">
        <w:tc>
          <w:tcPr>
            <w:tcW w:w="6800" w:type="dxa"/>
            <w:shd w:val="clear" w:color="auto" w:fill="F2F7E7"/>
            <w:tcMar>
              <w:top w:w="100" w:type="dxa"/>
              <w:left w:w="140" w:type="dxa"/>
              <w:bottom w:w="100" w:type="dxa"/>
              <w:right w:w="140" w:type="dxa"/>
            </w:tcMar>
            <w:vAlign w:val="center"/>
          </w:tcPr>
          <w:p w14:paraId="6BAF4A3C" w14:textId="77777777" w:rsidR="001D6967" w:rsidRDefault="002F466B">
            <w:pPr>
              <w:spacing w:after="0"/>
            </w:pPr>
            <w:r>
              <w:rPr>
                <w:b/>
                <w:color w:val="1A2E4A"/>
                <w:sz w:val="21"/>
              </w:rPr>
              <w:t>Cebolla</w:t>
            </w:r>
          </w:p>
        </w:tc>
        <w:tc>
          <w:tcPr>
            <w:tcW w:w="2560" w:type="dxa"/>
            <w:shd w:val="clear" w:color="auto" w:fill="F2F7E7"/>
            <w:tcMar>
              <w:top w:w="100" w:type="dxa"/>
              <w:left w:w="140" w:type="dxa"/>
              <w:bottom w:w="100" w:type="dxa"/>
              <w:right w:w="140" w:type="dxa"/>
            </w:tcMar>
            <w:vAlign w:val="center"/>
          </w:tcPr>
          <w:p w14:paraId="3EBFD4FC" w14:textId="77777777" w:rsidR="001D6967" w:rsidRDefault="002F466B">
            <w:pPr>
              <w:spacing w:after="0"/>
              <w:jc w:val="right"/>
            </w:pPr>
            <w:r>
              <w:rPr>
                <w:b/>
                <w:color w:val="1A2E4A"/>
                <w:sz w:val="21"/>
              </w:rPr>
              <w:t>+49,58%</w:t>
            </w:r>
          </w:p>
        </w:tc>
      </w:tr>
      <w:tr w:rsidR="001D6967" w14:paraId="3FBE8375" w14:textId="77777777">
        <w:tc>
          <w:tcPr>
            <w:tcW w:w="6800" w:type="dxa"/>
            <w:shd w:val="clear" w:color="auto" w:fill="F2F7E7"/>
            <w:tcMar>
              <w:top w:w="100" w:type="dxa"/>
              <w:left w:w="140" w:type="dxa"/>
              <w:bottom w:w="100" w:type="dxa"/>
              <w:right w:w="140" w:type="dxa"/>
            </w:tcMar>
            <w:vAlign w:val="center"/>
          </w:tcPr>
          <w:p w14:paraId="106C9EF3" w14:textId="77777777" w:rsidR="001D6967" w:rsidRDefault="002F466B">
            <w:pPr>
              <w:spacing w:after="0"/>
            </w:pPr>
            <w:r>
              <w:rPr>
                <w:b/>
                <w:color w:val="1A2E4A"/>
                <w:sz w:val="21"/>
              </w:rPr>
              <w:t>Jabón de tocador</w:t>
            </w:r>
          </w:p>
        </w:tc>
        <w:tc>
          <w:tcPr>
            <w:tcW w:w="2560" w:type="dxa"/>
            <w:shd w:val="clear" w:color="auto" w:fill="F2F7E7"/>
            <w:tcMar>
              <w:top w:w="100" w:type="dxa"/>
              <w:left w:w="140" w:type="dxa"/>
              <w:bottom w:w="100" w:type="dxa"/>
              <w:right w:w="140" w:type="dxa"/>
            </w:tcMar>
            <w:vAlign w:val="center"/>
          </w:tcPr>
          <w:p w14:paraId="321A8DCB" w14:textId="77777777" w:rsidR="001D6967" w:rsidRDefault="002F466B">
            <w:pPr>
              <w:spacing w:after="0"/>
              <w:jc w:val="right"/>
            </w:pPr>
            <w:r>
              <w:rPr>
                <w:b/>
                <w:color w:val="1A2E4A"/>
                <w:sz w:val="21"/>
              </w:rPr>
              <w:t>+38,78%</w:t>
            </w:r>
          </w:p>
        </w:tc>
      </w:tr>
      <w:tr w:rsidR="001D6967" w14:paraId="1BCD41B6" w14:textId="77777777">
        <w:tc>
          <w:tcPr>
            <w:tcW w:w="6800" w:type="dxa"/>
            <w:tcMar>
              <w:top w:w="100" w:type="dxa"/>
              <w:left w:w="140" w:type="dxa"/>
              <w:bottom w:w="100" w:type="dxa"/>
              <w:right w:w="140" w:type="dxa"/>
            </w:tcMar>
            <w:vAlign w:val="center"/>
          </w:tcPr>
          <w:p w14:paraId="0AC5E9C3" w14:textId="77777777" w:rsidR="001D6967" w:rsidRDefault="002F466B">
            <w:pPr>
              <w:spacing w:after="0"/>
            </w:pPr>
            <w:r>
              <w:rPr>
                <w:color w:val="1A2E4A"/>
                <w:sz w:val="21"/>
              </w:rPr>
              <w:t>Aceite</w:t>
            </w:r>
          </w:p>
        </w:tc>
        <w:tc>
          <w:tcPr>
            <w:tcW w:w="2560" w:type="dxa"/>
            <w:tcMar>
              <w:top w:w="100" w:type="dxa"/>
              <w:left w:w="140" w:type="dxa"/>
              <w:bottom w:w="100" w:type="dxa"/>
              <w:right w:w="140" w:type="dxa"/>
            </w:tcMar>
            <w:vAlign w:val="center"/>
          </w:tcPr>
          <w:p w14:paraId="65A5918A" w14:textId="77777777" w:rsidR="001D6967" w:rsidRDefault="002F466B">
            <w:pPr>
              <w:spacing w:after="0"/>
              <w:jc w:val="right"/>
            </w:pPr>
            <w:r>
              <w:rPr>
                <w:b/>
                <w:color w:val="1A2E4A"/>
                <w:sz w:val="21"/>
              </w:rPr>
              <w:t>+32,27%</w:t>
            </w:r>
          </w:p>
        </w:tc>
      </w:tr>
      <w:tr w:rsidR="001D6967" w14:paraId="387A0EEF" w14:textId="77777777">
        <w:tc>
          <w:tcPr>
            <w:tcW w:w="6800" w:type="dxa"/>
            <w:tcMar>
              <w:top w:w="100" w:type="dxa"/>
              <w:left w:w="140" w:type="dxa"/>
              <w:bottom w:w="100" w:type="dxa"/>
              <w:right w:w="140" w:type="dxa"/>
            </w:tcMar>
            <w:vAlign w:val="center"/>
          </w:tcPr>
          <w:p w14:paraId="2C5EB025" w14:textId="77777777" w:rsidR="001D6967" w:rsidRDefault="002F466B">
            <w:pPr>
              <w:spacing w:after="0"/>
            </w:pPr>
            <w:r>
              <w:rPr>
                <w:color w:val="1A2E4A"/>
                <w:sz w:val="21"/>
              </w:rPr>
              <w:lastRenderedPageBreak/>
              <w:t>Tomate</w:t>
            </w:r>
          </w:p>
        </w:tc>
        <w:tc>
          <w:tcPr>
            <w:tcW w:w="2560" w:type="dxa"/>
            <w:tcMar>
              <w:top w:w="100" w:type="dxa"/>
              <w:left w:w="140" w:type="dxa"/>
              <w:bottom w:w="100" w:type="dxa"/>
              <w:right w:w="140" w:type="dxa"/>
            </w:tcMar>
            <w:vAlign w:val="center"/>
          </w:tcPr>
          <w:p w14:paraId="47984ACA" w14:textId="77777777" w:rsidR="001D6967" w:rsidRDefault="002F466B">
            <w:pPr>
              <w:spacing w:after="0"/>
              <w:jc w:val="right"/>
            </w:pPr>
            <w:r>
              <w:rPr>
                <w:b/>
                <w:color w:val="1A2E4A"/>
                <w:sz w:val="21"/>
              </w:rPr>
              <w:t>+29,35%</w:t>
            </w:r>
          </w:p>
        </w:tc>
      </w:tr>
      <w:tr w:rsidR="001D6967" w14:paraId="4B0C1ED2" w14:textId="77777777">
        <w:tc>
          <w:tcPr>
            <w:tcW w:w="6800" w:type="dxa"/>
            <w:tcMar>
              <w:top w:w="100" w:type="dxa"/>
              <w:left w:w="140" w:type="dxa"/>
              <w:bottom w:w="100" w:type="dxa"/>
              <w:right w:w="140" w:type="dxa"/>
            </w:tcMar>
            <w:vAlign w:val="center"/>
          </w:tcPr>
          <w:p w14:paraId="3D9BC1B6" w14:textId="77777777" w:rsidR="001D6967" w:rsidRDefault="002F466B">
            <w:pPr>
              <w:spacing w:after="0"/>
            </w:pPr>
            <w:r>
              <w:rPr>
                <w:color w:val="1A2E4A"/>
                <w:sz w:val="21"/>
              </w:rPr>
              <w:t>Fideos</w:t>
            </w:r>
          </w:p>
        </w:tc>
        <w:tc>
          <w:tcPr>
            <w:tcW w:w="2560" w:type="dxa"/>
            <w:tcMar>
              <w:top w:w="100" w:type="dxa"/>
              <w:left w:w="140" w:type="dxa"/>
              <w:bottom w:w="100" w:type="dxa"/>
              <w:right w:w="140" w:type="dxa"/>
            </w:tcMar>
            <w:vAlign w:val="center"/>
          </w:tcPr>
          <w:p w14:paraId="1B63499F" w14:textId="77777777" w:rsidR="001D6967" w:rsidRDefault="002F466B">
            <w:pPr>
              <w:spacing w:after="0"/>
              <w:jc w:val="right"/>
            </w:pPr>
            <w:r>
              <w:rPr>
                <w:b/>
                <w:color w:val="1A2E4A"/>
                <w:sz w:val="21"/>
              </w:rPr>
              <w:t>+16,56%</w:t>
            </w:r>
          </w:p>
        </w:tc>
      </w:tr>
    </w:tbl>
    <w:p w14:paraId="2B0731C3" w14:textId="77777777" w:rsidR="001D6967" w:rsidRDefault="002F466B">
      <w:pPr>
        <w:pStyle w:val="Ttulo1"/>
      </w:pPr>
      <w:r>
        <w:t>Una medición local y periódica</w:t>
      </w:r>
    </w:p>
    <w:p w14:paraId="4E0CC6A7" w14:textId="77777777" w:rsidR="001D6967" w:rsidRPr="00A35814" w:rsidRDefault="002F466B">
      <w:pPr>
        <w:rPr>
          <w:lang w:val="es-AR"/>
        </w:rPr>
      </w:pPr>
      <w:r w:rsidRPr="00A35814">
        <w:rPr>
          <w:lang w:val="es-AR"/>
        </w:rPr>
        <w:t>La iniciativa busca generar información accesible y comparable sobre precios locales. El relevamiento se realizará mensualmente, siguiendo una canasta estable de 22 productos.</w:t>
      </w:r>
    </w:p>
    <w:p w14:paraId="5B2DD314" w14:textId="77777777" w:rsidR="001D6967" w:rsidRPr="00A35814" w:rsidRDefault="002F466B">
      <w:pPr>
        <w:rPr>
          <w:lang w:val="es-AR"/>
        </w:rPr>
      </w:pPr>
      <w:r w:rsidRPr="00A35814">
        <w:rPr>
          <w:lang w:val="es-AR"/>
        </w:rPr>
        <w:t>Para cada producto se utiliza la mediana de los precios observados. Esta metodología permite reducir la influencia de valores atípicos y obtener una referencia más representativa de los precios relevados.</w:t>
      </w:r>
    </w:p>
    <w:p w14:paraId="08077B03" w14:textId="77777777" w:rsidR="001D6967" w:rsidRPr="00A35814" w:rsidRDefault="002F466B">
      <w:pPr>
        <w:rPr>
          <w:lang w:val="es-AR"/>
        </w:rPr>
      </w:pPr>
      <w:r w:rsidRPr="00A35814">
        <w:rPr>
          <w:lang w:val="es-AR"/>
        </w:rPr>
        <w:t>El dato de julio constituye el punto de partida de una serie que adquirirá mayor valor con su continuidad. La publicación periódica permitirá observar tendencias, identificar los productos que explican las principales variaciones y ofrecer información útil a vecinos, comercios, instituciones y medios de comunicación.</w:t>
      </w:r>
    </w:p>
    <w:p w14:paraId="2206E647" w14:textId="77777777" w:rsidR="001D6967" w:rsidRPr="00A35814" w:rsidRDefault="002F466B">
      <w:pPr>
        <w:pStyle w:val="Ttulo1"/>
        <w:rPr>
          <w:lang w:val="es-AR"/>
        </w:rPr>
      </w:pPr>
      <w:r w:rsidRPr="00A35814">
        <w:rPr>
          <w:lang w:val="es-AR"/>
        </w:rPr>
        <w:t>Alcance del indicador</w:t>
      </w:r>
    </w:p>
    <w:p w14:paraId="7DBCF081" w14:textId="77777777" w:rsidR="001D6967" w:rsidRPr="00A35814" w:rsidRDefault="002F466B">
      <w:pPr>
        <w:pBdr>
          <w:left w:val="single" w:sz="22" w:space="10" w:color="253D5F"/>
        </w:pBdr>
        <w:shd w:val="clear" w:color="auto" w:fill="F2F4F7"/>
        <w:spacing w:before="60" w:after="200" w:line="276" w:lineRule="auto"/>
        <w:ind w:left="259" w:right="173"/>
        <w:rPr>
          <w:lang w:val="es-AR"/>
        </w:rPr>
      </w:pPr>
      <w:r w:rsidRPr="00A35814">
        <w:rPr>
          <w:b/>
          <w:color w:val="1A2E4A"/>
          <w:lang w:val="es-AR"/>
        </w:rPr>
        <w:t>El Índice de Precios CEPM es un relevamiento local basado en una canasta testigo. No constituye un Índice de Precios al Consumidor oficial ni pretende reemplazar las mediciones realizadas por los organismos estadísticos nacionales o provinciales.</w:t>
      </w:r>
    </w:p>
    <w:p w14:paraId="54638657" w14:textId="77777777" w:rsidR="001D6967" w:rsidRPr="00A35814" w:rsidRDefault="002F466B">
      <w:pPr>
        <w:rPr>
          <w:lang w:val="es-AR"/>
        </w:rPr>
      </w:pPr>
      <w:r w:rsidRPr="00A35814">
        <w:rPr>
          <w:lang w:val="es-AR"/>
        </w:rPr>
        <w:t>Su objetivo es complementar la información disponible con una referencia local, elaborada mediante criterios consistentes y comunicada de manera transparente.</w:t>
      </w:r>
    </w:p>
    <w:p w14:paraId="09258CA7" w14:textId="77777777" w:rsidR="001D6967" w:rsidRPr="00A35814" w:rsidRDefault="002F466B">
      <w:pPr>
        <w:rPr>
          <w:lang w:val="es-AR"/>
        </w:rPr>
      </w:pPr>
      <w:r w:rsidRPr="00A35814">
        <w:rPr>
          <w:lang w:val="es-AR"/>
        </w:rPr>
        <w:t>Desde el CEPM se continuará trabajando en la consolidación de esta herramienta y en la publicación mensual de sus resultados bajo una premisa central: más datos permiten tomar mejores decisiones.</w:t>
      </w:r>
    </w:p>
    <w:p w14:paraId="00919C5E" w14:textId="77777777" w:rsidR="001D6967" w:rsidRPr="00A35814" w:rsidRDefault="002F466B">
      <w:pPr>
        <w:pStyle w:val="Ttulo1"/>
        <w:rPr>
          <w:lang w:val="es-AR"/>
        </w:rPr>
      </w:pPr>
      <w:r w:rsidRPr="00A35814">
        <w:rPr>
          <w:lang w:val="es-AR"/>
        </w:rPr>
        <w:t>Informe completo</w:t>
      </w:r>
    </w:p>
    <w:p w14:paraId="6D287060" w14:textId="77777777" w:rsidR="001D6967" w:rsidRPr="00A35814" w:rsidRDefault="002F466B">
      <w:pPr>
        <w:rPr>
          <w:lang w:val="es-AR"/>
        </w:rPr>
      </w:pPr>
      <w:r w:rsidRPr="00A35814">
        <w:rPr>
          <w:lang w:val="es-AR"/>
        </w:rPr>
        <w:t xml:space="preserve">El informe y la explicación metodológica pueden consultarse en: </w:t>
      </w:r>
      <w:hyperlink r:id="rId9">
        <w:r w:rsidRPr="00A35814">
          <w:rPr>
            <w:color w:val="253D5F"/>
            <w:u w:val="single"/>
            <w:lang w:val="es-AR"/>
          </w:rPr>
          <w:t>cepm9dejulio.com/informe-indice-precios-julio-2026.html</w:t>
        </w:r>
      </w:hyperlink>
    </w:p>
    <w:p w14:paraId="725F9A88" w14:textId="77777777" w:rsidR="00A35814" w:rsidRDefault="00A35814">
      <w:pPr>
        <w:keepNext/>
        <w:spacing w:after="40"/>
        <w:rPr>
          <w:b/>
          <w:color w:val="1A2E4A"/>
          <w:sz w:val="21"/>
          <w:lang w:val="es-AR"/>
        </w:rPr>
      </w:pPr>
    </w:p>
    <w:p w14:paraId="248F1EB2" w14:textId="2FBFF67B" w:rsidR="001D6967" w:rsidRPr="00A35814" w:rsidRDefault="002F466B">
      <w:pPr>
        <w:keepNext/>
        <w:spacing w:after="40"/>
        <w:rPr>
          <w:lang w:val="es-AR"/>
        </w:rPr>
      </w:pPr>
      <w:r w:rsidRPr="00A35814">
        <w:rPr>
          <w:b/>
          <w:color w:val="1A2E4A"/>
          <w:sz w:val="21"/>
          <w:lang w:val="es-AR"/>
        </w:rPr>
        <w:t>Centro de Estudios de Políticas Municipales (CEPM)</w:t>
      </w:r>
    </w:p>
    <w:p w14:paraId="64E44DE7" w14:textId="26C082F0" w:rsidR="001D6967" w:rsidRPr="00A35814" w:rsidRDefault="002F466B">
      <w:pPr>
        <w:keepNext/>
        <w:spacing w:after="40"/>
        <w:rPr>
          <w:lang w:val="es-AR"/>
        </w:rPr>
      </w:pPr>
      <w:r w:rsidRPr="00A35814">
        <w:rPr>
          <w:sz w:val="21"/>
          <w:lang w:val="es-AR"/>
        </w:rPr>
        <w:t>San Juan 1077, 9 de Julio, Buenos Aires</w:t>
      </w:r>
    </w:p>
    <w:p w14:paraId="258D88E3" w14:textId="77777777" w:rsidR="001D6967" w:rsidRDefault="002F466B">
      <w:pPr>
        <w:keepNext/>
        <w:spacing w:after="40"/>
      </w:pPr>
      <w:r>
        <w:rPr>
          <w:sz w:val="21"/>
        </w:rPr>
        <w:t>Instagram: @cepm9dejulio</w:t>
      </w:r>
    </w:p>
    <w:p w14:paraId="41C92A81" w14:textId="77777777" w:rsidR="001D6967" w:rsidRDefault="002F466B">
      <w:pPr>
        <w:spacing w:after="40"/>
      </w:pPr>
      <w:r>
        <w:rPr>
          <w:sz w:val="21"/>
        </w:rPr>
        <w:t>Sitio web: cepm9dejulio.com</w:t>
      </w:r>
    </w:p>
    <w:sectPr w:rsidR="001D6967" w:rsidSect="00034616">
      <w:headerReference w:type="default" r:id="rId10"/>
      <w:footerReference w:type="default" r:id="rId11"/>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315C9" w14:textId="77777777" w:rsidR="002F466B" w:rsidRDefault="002F466B">
      <w:pPr>
        <w:spacing w:after="0" w:line="240" w:lineRule="auto"/>
      </w:pPr>
      <w:r>
        <w:separator/>
      </w:r>
    </w:p>
  </w:endnote>
  <w:endnote w:type="continuationSeparator" w:id="0">
    <w:p w14:paraId="72FCB081" w14:textId="77777777" w:rsidR="002F466B" w:rsidRDefault="002F4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FA1F0" w14:textId="71870171" w:rsidR="001D6967" w:rsidRPr="00A35814" w:rsidRDefault="002F466B">
    <w:pPr>
      <w:pStyle w:val="Piedepgina"/>
      <w:rPr>
        <w:lang w:val="es-AR"/>
      </w:rPr>
    </w:pPr>
    <w:r w:rsidRPr="00A35814">
      <w:rPr>
        <w:color w:val="667085"/>
        <w:sz w:val="16"/>
        <w:lang w:val="es-AR"/>
      </w:rPr>
      <w:t>Centro de Estudios de Políticas Municipales · 9 de Julio</w:t>
    </w:r>
    <w:r w:rsidRPr="00A35814">
      <w:rPr>
        <w:lang w:val="es-AR"/>
      </w:rPr>
      <w:tab/>
    </w:r>
    <w:r>
      <w:rPr>
        <w:color w:val="667085"/>
        <w:sz w:val="17"/>
      </w:rPr>
      <w:fldChar w:fldCharType="begin"/>
    </w:r>
    <w:r w:rsidRPr="00A35814">
      <w:rPr>
        <w:color w:val="667085"/>
        <w:sz w:val="17"/>
        <w:lang w:val="es-AR"/>
      </w:rPr>
      <w:instrText xml:space="preserve"> PAGE </w:instrText>
    </w:r>
    <w:r w:rsidR="00A35814">
      <w:rPr>
        <w:color w:val="667085"/>
        <w:sz w:val="17"/>
      </w:rPr>
      <w:fldChar w:fldCharType="separate"/>
    </w:r>
    <w:r w:rsidR="00A35814" w:rsidRPr="00A35814">
      <w:rPr>
        <w:noProof/>
        <w:color w:val="667085"/>
        <w:sz w:val="17"/>
        <w:lang w:val="es-AR"/>
      </w:rPr>
      <w:t>2</w:t>
    </w:r>
    <w:r>
      <w:rPr>
        <w:color w:val="667085"/>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1B43F" w14:textId="77777777" w:rsidR="002F466B" w:rsidRDefault="002F466B">
      <w:pPr>
        <w:spacing w:after="0" w:line="240" w:lineRule="auto"/>
      </w:pPr>
      <w:r>
        <w:separator/>
      </w:r>
    </w:p>
  </w:footnote>
  <w:footnote w:type="continuationSeparator" w:id="0">
    <w:p w14:paraId="0C7CAE3B" w14:textId="77777777" w:rsidR="002F466B" w:rsidRDefault="002F4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9701" w14:textId="77777777" w:rsidR="001D6967" w:rsidRPr="00A35814" w:rsidRDefault="002F466B">
    <w:pPr>
      <w:pStyle w:val="Encabezado"/>
      <w:pBdr>
        <w:bottom w:val="single" w:sz="6" w:space="4" w:color="A8CE50"/>
      </w:pBdr>
      <w:spacing w:after="80"/>
      <w:rPr>
        <w:lang w:val="es-AR"/>
      </w:rPr>
    </w:pPr>
    <w:r w:rsidRPr="00A35814">
      <w:rPr>
        <w:b/>
        <w:color w:val="667085"/>
        <w:sz w:val="16"/>
        <w:lang w:val="es-AR"/>
      </w:rPr>
      <w:t>CEPM · OBSERVATORIO | ÍNDICE DE PRECIOS · JULIO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495802145">
    <w:abstractNumId w:val="8"/>
  </w:num>
  <w:num w:numId="2" w16cid:durableId="1128352385">
    <w:abstractNumId w:val="6"/>
  </w:num>
  <w:num w:numId="3" w16cid:durableId="325398519">
    <w:abstractNumId w:val="5"/>
  </w:num>
  <w:num w:numId="4" w16cid:durableId="923806581">
    <w:abstractNumId w:val="4"/>
  </w:num>
  <w:num w:numId="5" w16cid:durableId="1455251941">
    <w:abstractNumId w:val="7"/>
  </w:num>
  <w:num w:numId="6" w16cid:durableId="1411275869">
    <w:abstractNumId w:val="3"/>
  </w:num>
  <w:num w:numId="7" w16cid:durableId="262805150">
    <w:abstractNumId w:val="2"/>
  </w:num>
  <w:num w:numId="8" w16cid:durableId="896554141">
    <w:abstractNumId w:val="1"/>
  </w:num>
  <w:num w:numId="9" w16cid:durableId="1202283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6967"/>
    <w:rsid w:val="0029639D"/>
    <w:rsid w:val="002F466B"/>
    <w:rsid w:val="00326F90"/>
    <w:rsid w:val="008C4F41"/>
    <w:rsid w:val="00A3581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9C27CB5-14EF-4308-8D49-F4B43DADF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3F4650"/>
    </w:rPr>
  </w:style>
  <w:style w:type="paragraph" w:styleId="Ttulo1">
    <w:name w:val="heading 1"/>
    <w:basedOn w:val="Normal"/>
    <w:next w:val="Normal"/>
    <w:link w:val="Ttulo1Car"/>
    <w:uiPriority w:val="9"/>
    <w:qFormat/>
    <w:rsid w:val="00FC693F"/>
    <w:pPr>
      <w:keepNext/>
      <w:keepLines/>
      <w:spacing w:before="320" w:after="160"/>
      <w:outlineLvl w:val="0"/>
    </w:pPr>
    <w:rPr>
      <w:rFonts w:asciiTheme="majorHAnsi" w:eastAsiaTheme="majorEastAsia" w:hAnsiTheme="majorHAnsi" w:cstheme="majorBidi"/>
      <w:b/>
      <w:bCs/>
      <w:color w:val="1A2E4A"/>
      <w:sz w:val="32"/>
      <w:szCs w:val="28"/>
    </w:rPr>
  </w:style>
  <w:style w:type="paragraph" w:styleId="Ttulo2">
    <w:name w:val="heading 2"/>
    <w:basedOn w:val="Normal"/>
    <w:next w:val="Normal"/>
    <w:link w:val="Ttulo2Car"/>
    <w:uiPriority w:val="9"/>
    <w:unhideWhenUsed/>
    <w:qFormat/>
    <w:rsid w:val="00FC693F"/>
    <w:pPr>
      <w:keepNext/>
      <w:keepLines/>
      <w:spacing w:before="240"/>
      <w:outlineLvl w:val="1"/>
    </w:pPr>
    <w:rPr>
      <w:rFonts w:asciiTheme="majorHAnsi" w:eastAsiaTheme="majorEastAsia" w:hAnsiTheme="majorHAnsi" w:cstheme="majorBidi"/>
      <w:b/>
      <w:bCs/>
      <w:color w:val="1A2E4A"/>
      <w:sz w:val="26"/>
      <w:szCs w:val="26"/>
    </w:rPr>
  </w:style>
  <w:style w:type="paragraph" w:styleId="Ttulo3">
    <w:name w:val="heading 3"/>
    <w:basedOn w:val="Normal"/>
    <w:next w:val="Normal"/>
    <w:link w:val="Ttulo3Car"/>
    <w:uiPriority w:val="9"/>
    <w:unhideWhenUsed/>
    <w:qFormat/>
    <w:rsid w:val="00FC693F"/>
    <w:pPr>
      <w:keepNext/>
      <w:keepLines/>
      <w:spacing w:before="160" w:after="80"/>
      <w:outlineLvl w:val="2"/>
    </w:pPr>
    <w:rPr>
      <w:rFonts w:asciiTheme="majorHAnsi" w:eastAsiaTheme="majorEastAsia" w:hAnsiTheme="majorHAnsi" w:cstheme="majorBidi"/>
      <w:b/>
      <w:bCs/>
      <w:color w:val="253D5F"/>
      <w:sz w:val="24"/>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epm9dejulio.com/informe-indice-precios-julio-20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Gacetilla de prensa - Índice de Precios CEPM - Julio 2026</dc:title>
  <dc:subject>Primera medición de la canasta testigo CEPM</dc:subject>
  <dc:creator>Centro de Estudios de Políticas Municipales (CEPM)</dc:creator>
  <cp:keywords>CEPM, 9 de Julio, precios locales, canasta testigo, julio 2026</cp:keywords>
  <dc:description>generated by python-docx</dc:description>
  <cp:lastModifiedBy>Mariano Giardina</cp:lastModifiedBy>
  <cp:revision>2</cp:revision>
  <dcterms:created xsi:type="dcterms:W3CDTF">2013-12-23T23:15:00Z</dcterms:created>
  <dcterms:modified xsi:type="dcterms:W3CDTF">2026-08-17T21:04:00Z</dcterms:modified>
  <cp:category/>
</cp:coreProperties>
</file>