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ABF00" w14:textId="77777777" w:rsidR="00052541" w:rsidRDefault="00052541" w:rsidP="00052541">
      <w:pPr>
        <w:pStyle w:val="NormalWeb"/>
        <w:shd w:val="clear" w:color="auto" w:fill="FFFFFF"/>
        <w:spacing w:before="0" w:beforeAutospacing="0" w:after="150" w:afterAutospacing="0"/>
        <w:ind w:left="5440"/>
        <w:jc w:val="both"/>
        <w:rPr>
          <w:rFonts w:ascii="Helvetica" w:hAnsi="Helvetica" w:cs="Helvetica"/>
          <w:color w:val="555555"/>
          <w:sz w:val="23"/>
          <w:szCs w:val="23"/>
        </w:rPr>
      </w:pPr>
      <w:r>
        <w:rPr>
          <w:rFonts w:ascii="Sitka Text" w:hAnsi="Sitka Text" w:cs="Helvetica"/>
          <w:color w:val="000000"/>
          <w:sz w:val="20"/>
          <w:szCs w:val="20"/>
        </w:rPr>
        <w:t>VALINOTI, MARIA FLORENCIA O VALINOTTI, MARIA FLORENCIA S/ QUEJA EN CAUSA N° 131.869 DEL TRIBUNAL DE CASACIÓN PENAL, SALA IV</w:t>
      </w:r>
    </w:p>
    <w:p w14:paraId="27AE5558" w14:textId="77777777" w:rsidR="00052541" w:rsidRDefault="00052541" w:rsidP="00052541">
      <w:pPr>
        <w:pStyle w:val="NormalWeb"/>
        <w:shd w:val="clear" w:color="auto" w:fill="FFFFFF"/>
        <w:spacing w:before="0" w:beforeAutospacing="0" w:after="150" w:afterAutospacing="0"/>
        <w:jc w:val="right"/>
        <w:rPr>
          <w:rFonts w:ascii="Helvetica" w:hAnsi="Helvetica" w:cs="Helvetica"/>
          <w:color w:val="555555"/>
          <w:sz w:val="23"/>
          <w:szCs w:val="23"/>
        </w:rPr>
      </w:pPr>
      <w:r>
        <w:rPr>
          <w:rFonts w:ascii="Arial" w:hAnsi="Arial" w:cs="Arial"/>
          <w:color w:val="000000"/>
          <w:sz w:val="20"/>
          <w:szCs w:val="20"/>
        </w:rPr>
        <w:t> </w:t>
      </w:r>
    </w:p>
    <w:p w14:paraId="660CCBA3" w14:textId="77777777" w:rsidR="00052541" w:rsidRDefault="00052541" w:rsidP="00052541">
      <w:pPr>
        <w:pStyle w:val="NormalWeb"/>
        <w:shd w:val="clear" w:color="auto" w:fill="FFFFFF"/>
        <w:spacing w:before="0" w:beforeAutospacing="0" w:after="150" w:afterAutospacing="0"/>
        <w:jc w:val="both"/>
        <w:rPr>
          <w:rFonts w:ascii="Helvetica" w:hAnsi="Helvetica" w:cs="Helvetica"/>
          <w:color w:val="555555"/>
          <w:sz w:val="23"/>
          <w:szCs w:val="23"/>
        </w:rPr>
      </w:pPr>
      <w:r>
        <w:rPr>
          <w:rFonts w:ascii="Arial" w:hAnsi="Arial" w:cs="Arial"/>
          <w:color w:val="000000"/>
          <w:sz w:val="20"/>
          <w:szCs w:val="20"/>
        </w:rPr>
        <w:t> </w:t>
      </w:r>
    </w:p>
    <w:p w14:paraId="13ED0EAC" w14:textId="77777777" w:rsidR="00052541" w:rsidRDefault="00052541" w:rsidP="00052541">
      <w:pPr>
        <w:pStyle w:val="NormalWeb"/>
        <w:shd w:val="clear" w:color="auto" w:fill="FFFFFF"/>
        <w:spacing w:before="0" w:beforeAutospacing="0" w:after="150" w:afterAutospacing="0" w:line="240" w:lineRule="atLeast"/>
        <w:ind w:firstLine="1400"/>
        <w:jc w:val="both"/>
        <w:rPr>
          <w:rFonts w:ascii="Helvetica" w:hAnsi="Helvetica" w:cs="Helvetica"/>
          <w:color w:val="555555"/>
          <w:sz w:val="23"/>
          <w:szCs w:val="23"/>
        </w:rPr>
      </w:pPr>
      <w:r>
        <w:rPr>
          <w:rFonts w:ascii="Sitka Text" w:hAnsi="Sitka Text" w:cs="Helvetica"/>
          <w:b/>
          <w:bCs/>
          <w:color w:val="000000"/>
        </w:rPr>
        <w:t>AUTOS Y VISTOS:</w:t>
      </w:r>
    </w:p>
    <w:p w14:paraId="0858A9E4" w14:textId="77777777" w:rsidR="00052541" w:rsidRDefault="00052541" w:rsidP="00052541">
      <w:pPr>
        <w:pStyle w:val="NormalWeb"/>
        <w:shd w:val="clear" w:color="auto" w:fill="FFFFFF"/>
        <w:spacing w:before="0" w:beforeAutospacing="0" w:after="150" w:afterAutospacing="0" w:line="240" w:lineRule="atLeast"/>
        <w:ind w:firstLine="1400"/>
        <w:jc w:val="both"/>
        <w:rPr>
          <w:rFonts w:ascii="Helvetica" w:hAnsi="Helvetica" w:cs="Helvetica"/>
          <w:color w:val="555555"/>
          <w:sz w:val="23"/>
          <w:szCs w:val="23"/>
        </w:rPr>
      </w:pPr>
      <w:r>
        <w:rPr>
          <w:rFonts w:ascii="Sitka Text" w:hAnsi="Sitka Text" w:cs="Helvetica"/>
          <w:color w:val="000000"/>
        </w:rPr>
        <w:t>La presente causa P.141.628-Q, caratulada: "</w:t>
      </w:r>
      <w:proofErr w:type="spellStart"/>
      <w:r>
        <w:rPr>
          <w:rFonts w:ascii="Sitka Text" w:hAnsi="Sitka Text" w:cs="Helvetica"/>
          <w:color w:val="000000"/>
        </w:rPr>
        <w:t>Valinoti</w:t>
      </w:r>
      <w:proofErr w:type="spellEnd"/>
      <w:r>
        <w:rPr>
          <w:rFonts w:ascii="Sitka Text" w:hAnsi="Sitka Text" w:cs="Helvetica"/>
          <w:color w:val="000000"/>
        </w:rPr>
        <w:t xml:space="preserve">, María Florencia o </w:t>
      </w:r>
      <w:proofErr w:type="spellStart"/>
      <w:r>
        <w:rPr>
          <w:rFonts w:ascii="Sitka Text" w:hAnsi="Sitka Text" w:cs="Helvetica"/>
          <w:color w:val="000000"/>
        </w:rPr>
        <w:t>Valinotti</w:t>
      </w:r>
      <w:proofErr w:type="spellEnd"/>
      <w:r>
        <w:rPr>
          <w:rFonts w:ascii="Sitka Text" w:hAnsi="Sitka Text" w:cs="Helvetica"/>
          <w:color w:val="000000"/>
        </w:rPr>
        <w:t>, María Florencia s/ queja en causa N° 131.869 del Tribunal de Casación Penal, Sala IV",</w:t>
      </w:r>
    </w:p>
    <w:p w14:paraId="4C7A354B" w14:textId="77777777" w:rsidR="00052541" w:rsidRDefault="00052541" w:rsidP="00052541">
      <w:pPr>
        <w:pStyle w:val="NormalWeb"/>
        <w:shd w:val="clear" w:color="auto" w:fill="FFFFFF"/>
        <w:spacing w:before="0" w:beforeAutospacing="0" w:after="150" w:afterAutospacing="0" w:line="240" w:lineRule="atLeast"/>
        <w:ind w:firstLine="1400"/>
        <w:jc w:val="both"/>
        <w:rPr>
          <w:rFonts w:ascii="Helvetica" w:hAnsi="Helvetica" w:cs="Helvetica"/>
          <w:color w:val="555555"/>
          <w:sz w:val="23"/>
          <w:szCs w:val="23"/>
        </w:rPr>
      </w:pPr>
      <w:r>
        <w:rPr>
          <w:rFonts w:ascii="Sitka Text" w:hAnsi="Sitka Text" w:cs="Helvetica"/>
          <w:b/>
          <w:bCs/>
          <w:color w:val="000000"/>
        </w:rPr>
        <w:t>Y CONSIDERANDO:</w:t>
      </w:r>
    </w:p>
    <w:p w14:paraId="075B5132" w14:textId="77777777" w:rsidR="00052541" w:rsidRDefault="00052541" w:rsidP="00052541">
      <w:pPr>
        <w:pStyle w:val="NormalWeb"/>
        <w:shd w:val="clear" w:color="auto" w:fill="FFFFFF"/>
        <w:spacing w:before="0" w:beforeAutospacing="0" w:after="150" w:afterAutospacing="0" w:line="240" w:lineRule="atLeast"/>
        <w:ind w:firstLine="1400"/>
        <w:jc w:val="both"/>
        <w:rPr>
          <w:rFonts w:ascii="Helvetica" w:hAnsi="Helvetica" w:cs="Helvetica"/>
          <w:color w:val="555555"/>
          <w:sz w:val="23"/>
          <w:szCs w:val="23"/>
        </w:rPr>
      </w:pPr>
      <w:r>
        <w:rPr>
          <w:rFonts w:ascii="Sitka Text" w:hAnsi="Sitka Text" w:cs="Helvetica"/>
          <w:b/>
          <w:bCs/>
          <w:color w:val="000000"/>
        </w:rPr>
        <w:t>I.</w:t>
      </w:r>
      <w:r>
        <w:rPr>
          <w:rFonts w:ascii="Sitka Text" w:hAnsi="Sitka Text" w:cs="Helvetica"/>
          <w:color w:val="000000"/>
        </w:rPr>
        <w:t xml:space="preserve"> Conforme surge de las actuaciones acompañadas por la parte, la Sala Cuarta del Tribunal de Casación Penal, el 1° de agosto de 2024, declaró inadmisibles los recursos extraordinarios de inaplicabilidad de ley, nulidad e inconstitucionalidad deducidos contra la decisión de ese órgano jurisdiccional que desestimó la queja interpuesta en oposición a la decisión de la Sala Tercera de la Cámara de Apelación y Garantías en lo Penal del Departamento Judicial de Mercedes que rechazó el recurso de casación incoado contra el fallo que confirmó la sentencia del Juzgado en lo Correccional </w:t>
      </w:r>
      <w:proofErr w:type="spellStart"/>
      <w:r>
        <w:rPr>
          <w:rFonts w:ascii="Sitka Text" w:hAnsi="Sitka Text" w:cs="Helvetica"/>
          <w:color w:val="000000"/>
        </w:rPr>
        <w:t>n°</w:t>
      </w:r>
      <w:proofErr w:type="spellEnd"/>
      <w:r>
        <w:rPr>
          <w:rFonts w:ascii="Sitka Text" w:hAnsi="Sitka Text" w:cs="Helvetica"/>
          <w:color w:val="000000"/>
        </w:rPr>
        <w:t xml:space="preserve"> 3 departamental que había condenado a María Florencia </w:t>
      </w:r>
      <w:proofErr w:type="spellStart"/>
      <w:r>
        <w:rPr>
          <w:rFonts w:ascii="Sitka Text" w:hAnsi="Sitka Text" w:cs="Helvetica"/>
          <w:color w:val="000000"/>
        </w:rPr>
        <w:t>Valinoti</w:t>
      </w:r>
      <w:proofErr w:type="spellEnd"/>
      <w:r>
        <w:rPr>
          <w:rFonts w:ascii="Sitka Text" w:hAnsi="Sitka Text" w:cs="Helvetica"/>
          <w:color w:val="000000"/>
        </w:rPr>
        <w:t xml:space="preserve"> o a María Florencia </w:t>
      </w:r>
      <w:proofErr w:type="spellStart"/>
      <w:r>
        <w:rPr>
          <w:rFonts w:ascii="Sitka Text" w:hAnsi="Sitka Text" w:cs="Helvetica"/>
          <w:color w:val="000000"/>
        </w:rPr>
        <w:t>Valinotti</w:t>
      </w:r>
      <w:proofErr w:type="spellEnd"/>
      <w:r>
        <w:rPr>
          <w:rFonts w:ascii="Sitka Text" w:hAnsi="Sitka Text" w:cs="Helvetica"/>
          <w:color w:val="000000"/>
        </w:rPr>
        <w:t xml:space="preserve"> a la pena de un año y seis meses de prisión de ejecución condicional e inhabilitación absoluta por el doble tiempo de la condena para ejercer cargos públicos, con más el pago de las costas del proceso, por considerarla autora penalmente responsable del delito de incumplimiento de los deberes de funcionario público y falsedad ideológica de instrumento público en concurso ideal.</w:t>
      </w:r>
    </w:p>
    <w:p w14:paraId="5546A190" w14:textId="77777777" w:rsidR="00052541" w:rsidRDefault="00052541" w:rsidP="00052541">
      <w:pPr>
        <w:pStyle w:val="NormalWeb"/>
        <w:shd w:val="clear" w:color="auto" w:fill="FFFFFF"/>
        <w:spacing w:before="0" w:beforeAutospacing="0" w:after="150" w:afterAutospacing="0" w:line="240" w:lineRule="atLeast"/>
        <w:ind w:firstLine="1400"/>
        <w:jc w:val="both"/>
        <w:rPr>
          <w:rFonts w:ascii="Helvetica" w:hAnsi="Helvetica" w:cs="Helvetica"/>
          <w:color w:val="555555"/>
          <w:sz w:val="23"/>
          <w:szCs w:val="23"/>
        </w:rPr>
      </w:pPr>
      <w:r>
        <w:rPr>
          <w:rFonts w:ascii="Sitka Text" w:hAnsi="Sitka Text" w:cs="Helvetica"/>
          <w:color w:val="000000"/>
        </w:rPr>
        <w:t>Para así decidir, aludió a lo sostenido por este Tribunal en cuanto a que los recursos extraordinarios previstos en el art. 479 del Código Procesal Penal sólo proceden contra las sentencias definitivas, entendiendo como tales las que terminan la causa o hacen imposible su continuación o las que, recayendo sobre una cuestión incidental, producen ese mismo efecto respecto de la causa principal, y afirmó que no encontrándose reunido el recaudo de sentencia definitiva, los remedios escogidos para la apertura de la vía extraordinaria no podían ser admitidos (art. 482 del CPP).</w:t>
      </w:r>
    </w:p>
    <w:p w14:paraId="11B0E636" w14:textId="77777777" w:rsidR="00052541" w:rsidRDefault="00052541" w:rsidP="00052541">
      <w:pPr>
        <w:pStyle w:val="NormalWeb"/>
        <w:shd w:val="clear" w:color="auto" w:fill="FFFFFF"/>
        <w:spacing w:before="0" w:beforeAutospacing="0" w:after="150" w:afterAutospacing="0" w:line="240" w:lineRule="atLeast"/>
        <w:ind w:firstLine="1400"/>
        <w:jc w:val="both"/>
        <w:rPr>
          <w:rFonts w:ascii="Helvetica" w:hAnsi="Helvetica" w:cs="Helvetica"/>
          <w:color w:val="555555"/>
          <w:sz w:val="23"/>
          <w:szCs w:val="23"/>
        </w:rPr>
      </w:pPr>
      <w:r>
        <w:rPr>
          <w:rFonts w:ascii="Sitka Text" w:hAnsi="Sitka Text" w:cs="Helvetica"/>
          <w:b/>
          <w:bCs/>
          <w:color w:val="000000"/>
        </w:rPr>
        <w:lastRenderedPageBreak/>
        <w:t>II.</w:t>
      </w:r>
      <w:r>
        <w:rPr>
          <w:rFonts w:ascii="Sitka Text" w:hAnsi="Sitka Text" w:cs="Helvetica"/>
          <w:color w:val="000000"/>
        </w:rPr>
        <w:t xml:space="preserve"> Frente a lo así decidido, el señor defensor particular de la nombrada -doctor Eduardo Aníbal </w:t>
      </w:r>
      <w:proofErr w:type="spellStart"/>
      <w:r>
        <w:rPr>
          <w:rFonts w:ascii="Sitka Text" w:hAnsi="Sitka Text" w:cs="Helvetica"/>
          <w:color w:val="000000"/>
        </w:rPr>
        <w:t>Vaira</w:t>
      </w:r>
      <w:proofErr w:type="spellEnd"/>
      <w:r>
        <w:rPr>
          <w:rFonts w:ascii="Sitka Text" w:hAnsi="Sitka Text" w:cs="Helvetica"/>
          <w:color w:val="000000"/>
        </w:rPr>
        <w:t>- articuló queja.</w:t>
      </w:r>
    </w:p>
    <w:p w14:paraId="4A7C5160" w14:textId="77777777" w:rsidR="00052541" w:rsidRDefault="00052541" w:rsidP="00052541">
      <w:pPr>
        <w:pStyle w:val="NormalWeb"/>
        <w:shd w:val="clear" w:color="auto" w:fill="FFFFFF"/>
        <w:spacing w:before="0" w:beforeAutospacing="0" w:after="150" w:afterAutospacing="0" w:line="240" w:lineRule="atLeast"/>
        <w:ind w:firstLine="1400"/>
        <w:jc w:val="both"/>
        <w:rPr>
          <w:rFonts w:ascii="Helvetica" w:hAnsi="Helvetica" w:cs="Helvetica"/>
          <w:color w:val="555555"/>
          <w:sz w:val="23"/>
          <w:szCs w:val="23"/>
        </w:rPr>
      </w:pPr>
      <w:r>
        <w:rPr>
          <w:rFonts w:ascii="Sitka Text" w:hAnsi="Sitka Text" w:cs="Helvetica"/>
          <w:b/>
          <w:bCs/>
          <w:color w:val="000000"/>
        </w:rPr>
        <w:t>III.</w:t>
      </w:r>
      <w:r>
        <w:rPr>
          <w:rFonts w:ascii="Sitka Text" w:hAnsi="Sitka Text" w:cs="Helvetica"/>
          <w:color w:val="000000"/>
        </w:rPr>
        <w:t> La vía directa resulta inadmisible.</w:t>
      </w:r>
    </w:p>
    <w:p w14:paraId="1E4AACB7" w14:textId="77777777" w:rsidR="00052541" w:rsidRDefault="00052541" w:rsidP="00052541">
      <w:pPr>
        <w:pStyle w:val="NormalWeb"/>
        <w:shd w:val="clear" w:color="auto" w:fill="FFFFFF"/>
        <w:spacing w:before="0" w:beforeAutospacing="0" w:after="150" w:afterAutospacing="0" w:line="240" w:lineRule="atLeast"/>
        <w:ind w:firstLine="1400"/>
        <w:jc w:val="both"/>
        <w:rPr>
          <w:rFonts w:ascii="Helvetica" w:hAnsi="Helvetica" w:cs="Helvetica"/>
          <w:color w:val="555555"/>
          <w:sz w:val="23"/>
          <w:szCs w:val="23"/>
        </w:rPr>
      </w:pPr>
      <w:r>
        <w:rPr>
          <w:rFonts w:ascii="Sitka Text" w:hAnsi="Sitka Text" w:cs="Helvetica"/>
          <w:color w:val="000000"/>
        </w:rPr>
        <w:t>Cabe recordar que el art. 486 bis del Código Procesal Penal (texto según ley 14.647, BO 5-XII-2014) establece que la vía de hecho debe presentarse con copia simple de la decisión que se pretende recurrir, del recurso denegado, de las respectivas notificaciones y de cualquier otra pieza que el peticionario considere útil para fundamentarlo.</w:t>
      </w:r>
    </w:p>
    <w:p w14:paraId="31D09DFB" w14:textId="77777777" w:rsidR="00052541" w:rsidRDefault="00052541" w:rsidP="00052541">
      <w:pPr>
        <w:pStyle w:val="NormalWeb"/>
        <w:shd w:val="clear" w:color="auto" w:fill="FFFFFF"/>
        <w:spacing w:before="0" w:beforeAutospacing="0" w:after="150" w:afterAutospacing="0" w:line="240" w:lineRule="atLeast"/>
        <w:ind w:firstLine="1400"/>
        <w:jc w:val="both"/>
        <w:rPr>
          <w:rFonts w:ascii="Helvetica" w:hAnsi="Helvetica" w:cs="Helvetica"/>
          <w:color w:val="555555"/>
          <w:sz w:val="23"/>
          <w:szCs w:val="23"/>
        </w:rPr>
      </w:pPr>
      <w:r>
        <w:rPr>
          <w:rFonts w:ascii="Sitka Text" w:hAnsi="Sitka Text" w:cs="Helvetica"/>
          <w:color w:val="000000"/>
        </w:rPr>
        <w:t xml:space="preserve">En la presente, la defensa omitió adjuntar copia de la notificación practicada a la imputada de autos, pieza imprescindible para controlar que la impugnación se haya presentado dentro del plazo legal, máxime si se tiene en consideración que, de tomarse la fecha de </w:t>
      </w:r>
      <w:proofErr w:type="spellStart"/>
      <w:r>
        <w:rPr>
          <w:rFonts w:ascii="Sitka Text" w:hAnsi="Sitka Text" w:cs="Helvetica"/>
          <w:color w:val="000000"/>
        </w:rPr>
        <w:t>anoticiamiento</w:t>
      </w:r>
      <w:proofErr w:type="spellEnd"/>
      <w:r>
        <w:rPr>
          <w:rFonts w:ascii="Sitka Text" w:hAnsi="Sitka Text" w:cs="Helvetica"/>
          <w:color w:val="000000"/>
        </w:rPr>
        <w:t xml:space="preserve"> al letrado (1-VIII-2024), la queja deducida el 12-VIII-2024 resultaría extemporánea.</w:t>
      </w:r>
    </w:p>
    <w:p w14:paraId="2B49742F" w14:textId="77777777" w:rsidR="00052541" w:rsidRDefault="00052541" w:rsidP="00052541">
      <w:pPr>
        <w:pStyle w:val="NormalWeb"/>
        <w:shd w:val="clear" w:color="auto" w:fill="FFFFFF"/>
        <w:spacing w:before="0" w:beforeAutospacing="0" w:after="150" w:afterAutospacing="0" w:line="240" w:lineRule="atLeast"/>
        <w:ind w:firstLine="1400"/>
        <w:jc w:val="both"/>
        <w:rPr>
          <w:rFonts w:ascii="Helvetica" w:hAnsi="Helvetica" w:cs="Helvetica"/>
          <w:color w:val="555555"/>
          <w:sz w:val="23"/>
          <w:szCs w:val="23"/>
        </w:rPr>
      </w:pPr>
      <w:r>
        <w:rPr>
          <w:rFonts w:ascii="Sitka Text" w:hAnsi="Sitka Text" w:cs="Helvetica"/>
          <w:color w:val="000000"/>
        </w:rPr>
        <w:t>Tampoco individualizó tal pieza para su respectiva consulta por vía telemática (conf. Ac. 4071/2022).</w:t>
      </w:r>
    </w:p>
    <w:p w14:paraId="3BFB0C49" w14:textId="77777777" w:rsidR="00052541" w:rsidRDefault="00052541" w:rsidP="00052541">
      <w:pPr>
        <w:pStyle w:val="NormalWeb"/>
        <w:shd w:val="clear" w:color="auto" w:fill="FFFFFF"/>
        <w:spacing w:before="0" w:beforeAutospacing="0" w:after="150" w:afterAutospacing="0" w:line="240" w:lineRule="atLeast"/>
        <w:ind w:firstLine="1400"/>
        <w:jc w:val="both"/>
        <w:rPr>
          <w:rFonts w:ascii="Helvetica" w:hAnsi="Helvetica" w:cs="Helvetica"/>
          <w:color w:val="555555"/>
          <w:sz w:val="23"/>
          <w:szCs w:val="23"/>
        </w:rPr>
      </w:pPr>
      <w:r>
        <w:rPr>
          <w:rFonts w:ascii="Sitka Text" w:hAnsi="Sitka Text" w:cs="Helvetica"/>
          <w:color w:val="000000"/>
        </w:rPr>
        <w:t>Lo expuesto impide analizar la admisibilidad de la vía de hecho intentada (conf. causas P. 136.373, resol. de 13-IX-2022; P. 136.831, resol. de 22-IX-2022; P. 135.893, resol. de 29-IX-2022; entre otras).</w:t>
      </w:r>
    </w:p>
    <w:p w14:paraId="291324DD" w14:textId="77777777" w:rsidR="00052541" w:rsidRDefault="00052541" w:rsidP="00052541">
      <w:pPr>
        <w:pStyle w:val="NormalWeb"/>
        <w:shd w:val="clear" w:color="auto" w:fill="FFFFFF"/>
        <w:spacing w:before="0" w:beforeAutospacing="0" w:after="150" w:afterAutospacing="0" w:line="240" w:lineRule="atLeast"/>
        <w:ind w:firstLine="1400"/>
        <w:jc w:val="both"/>
        <w:rPr>
          <w:rFonts w:ascii="Helvetica" w:hAnsi="Helvetica" w:cs="Helvetica"/>
          <w:color w:val="555555"/>
          <w:sz w:val="23"/>
          <w:szCs w:val="23"/>
        </w:rPr>
      </w:pPr>
      <w:r>
        <w:rPr>
          <w:rFonts w:ascii="Sitka Text" w:hAnsi="Sitka Text" w:cs="Helvetica"/>
          <w:b/>
          <w:bCs/>
          <w:color w:val="000000"/>
        </w:rPr>
        <w:t>IV.</w:t>
      </w:r>
      <w:r>
        <w:rPr>
          <w:rFonts w:ascii="Sitka Text" w:hAnsi="Sitka Text" w:cs="Helvetica"/>
          <w:color w:val="000000"/>
        </w:rPr>
        <w:t> Sin perjuicio de que el déficit señalado en el acápite anterior alcanzaría para la desestimación de la presentación y más allá de las consideraciones que correspondería efectuar en punto al argumento utilizado por el</w:t>
      </w:r>
      <w:r>
        <w:rPr>
          <w:rFonts w:ascii="Sitka Text" w:hAnsi="Sitka Text" w:cs="Helvetica"/>
          <w:i/>
          <w:iCs/>
          <w:color w:val="000000"/>
        </w:rPr>
        <w:t> a quo </w:t>
      </w:r>
      <w:r>
        <w:rPr>
          <w:rFonts w:ascii="Sitka Text" w:hAnsi="Sitka Text" w:cs="Helvetica"/>
          <w:color w:val="000000"/>
        </w:rPr>
        <w:t>para desestimar los recursos extraordinarios intentados, de lo reseñado en el punto I se desprende que el recurrente no emprendió el </w:t>
      </w:r>
      <w:proofErr w:type="spellStart"/>
      <w:r>
        <w:rPr>
          <w:rFonts w:ascii="Sitka Text" w:hAnsi="Sitka Text" w:cs="Helvetica"/>
          <w:i/>
          <w:iCs/>
          <w:color w:val="000000"/>
        </w:rPr>
        <w:t>iter</w:t>
      </w:r>
      <w:proofErr w:type="spellEnd"/>
      <w:r>
        <w:rPr>
          <w:rFonts w:ascii="Sitka Text" w:hAnsi="Sitka Text" w:cs="Helvetica"/>
          <w:i/>
          <w:iCs/>
          <w:color w:val="000000"/>
        </w:rPr>
        <w:t> </w:t>
      </w:r>
      <w:r>
        <w:rPr>
          <w:rFonts w:ascii="Sitka Text" w:hAnsi="Sitka Text" w:cs="Helvetica"/>
          <w:color w:val="000000"/>
        </w:rPr>
        <w:t>recursivo correcto.</w:t>
      </w:r>
    </w:p>
    <w:p w14:paraId="5E79EBAE" w14:textId="77777777" w:rsidR="00052541" w:rsidRDefault="00052541" w:rsidP="00052541">
      <w:pPr>
        <w:pStyle w:val="NormalWeb"/>
        <w:shd w:val="clear" w:color="auto" w:fill="FFFFFF"/>
        <w:spacing w:before="0" w:beforeAutospacing="0" w:after="150" w:afterAutospacing="0" w:line="240" w:lineRule="atLeast"/>
        <w:ind w:firstLine="1400"/>
        <w:jc w:val="both"/>
        <w:rPr>
          <w:rFonts w:ascii="Helvetica" w:hAnsi="Helvetica" w:cs="Helvetica"/>
          <w:color w:val="555555"/>
          <w:sz w:val="23"/>
          <w:szCs w:val="23"/>
        </w:rPr>
      </w:pPr>
      <w:r>
        <w:rPr>
          <w:rFonts w:ascii="Sitka Text" w:hAnsi="Sitka Text" w:cs="Helvetica"/>
          <w:color w:val="000000"/>
        </w:rPr>
        <w:t xml:space="preserve">En efecto, el tránsito impugnativo seguido en la presente denota que la decisión que se pretende recurrir no proviene del órgano habilitado por ley como paso previo a esta Corte (conf. arts. 20, 479 y </w:t>
      </w:r>
      <w:proofErr w:type="spellStart"/>
      <w:r>
        <w:rPr>
          <w:rFonts w:ascii="Sitka Text" w:hAnsi="Sitka Text" w:cs="Helvetica"/>
          <w:color w:val="000000"/>
        </w:rPr>
        <w:t>concs</w:t>
      </w:r>
      <w:proofErr w:type="spellEnd"/>
      <w:r>
        <w:rPr>
          <w:rFonts w:ascii="Sitka Text" w:hAnsi="Sitka Text" w:cs="Helvetica"/>
          <w:color w:val="000000"/>
        </w:rPr>
        <w:t>., CPP y Ac. 104.667, res. del 29-XII-2008; P. 126.991, res. del 4-V-2016; P. 128.422, res. del 17-V-2017; P. 122.382, res. del 31-V-2017; P. 122.108, res. del 13-IX-2017, entre muchas otras).</w:t>
      </w:r>
    </w:p>
    <w:p w14:paraId="0653514C" w14:textId="77777777" w:rsidR="00052541" w:rsidRDefault="00052541" w:rsidP="00052541">
      <w:pPr>
        <w:pStyle w:val="NormalWeb"/>
        <w:shd w:val="clear" w:color="auto" w:fill="FFFFFF"/>
        <w:spacing w:before="0" w:beforeAutospacing="0" w:after="150" w:afterAutospacing="0" w:line="240" w:lineRule="atLeast"/>
        <w:ind w:firstLine="1400"/>
        <w:jc w:val="both"/>
        <w:rPr>
          <w:rFonts w:ascii="Helvetica" w:hAnsi="Helvetica" w:cs="Helvetica"/>
          <w:color w:val="555555"/>
          <w:sz w:val="23"/>
          <w:szCs w:val="23"/>
        </w:rPr>
      </w:pPr>
      <w:r>
        <w:rPr>
          <w:rFonts w:ascii="Sitka Text" w:hAnsi="Sitka Text" w:cs="Helvetica"/>
          <w:color w:val="000000"/>
        </w:rPr>
        <w:t>Cabe recordar que si bien la reforma establecida por la ley 13.812 (BO 21-IV-2008) no modificó el carácter de tribunal intermedio del órgano casatorio, excluyó expresamente su competencia en supuestos como el presente. En conclusión, no debió transitar por ante el Tribunal de Casación Penal como órgano previo para acceder a esta instancia.</w:t>
      </w:r>
    </w:p>
    <w:p w14:paraId="45629757" w14:textId="77777777" w:rsidR="00052541" w:rsidRDefault="00052541" w:rsidP="00052541">
      <w:pPr>
        <w:pStyle w:val="NormalWeb"/>
        <w:shd w:val="clear" w:color="auto" w:fill="FFFFFF"/>
        <w:spacing w:before="0" w:beforeAutospacing="0" w:after="150" w:afterAutospacing="0" w:line="240" w:lineRule="atLeast"/>
        <w:ind w:firstLine="1400"/>
        <w:jc w:val="both"/>
        <w:rPr>
          <w:rFonts w:ascii="Helvetica" w:hAnsi="Helvetica" w:cs="Helvetica"/>
          <w:color w:val="555555"/>
          <w:sz w:val="23"/>
          <w:szCs w:val="23"/>
        </w:rPr>
      </w:pPr>
      <w:r>
        <w:rPr>
          <w:rFonts w:ascii="Sitka Text" w:hAnsi="Sitka Text" w:cs="Helvetica"/>
          <w:color w:val="000000"/>
        </w:rPr>
        <w:lastRenderedPageBreak/>
        <w:t>De este modo, y en tanto -en el caso- la decisión contra la cual se dedujo la impugnación extraordinaria proviene del mencionado órgano, corresponde su desestimación (art. 486, CPP).</w:t>
      </w:r>
    </w:p>
    <w:p w14:paraId="7254D06D" w14:textId="77777777" w:rsidR="00052541" w:rsidRDefault="00052541" w:rsidP="00052541">
      <w:pPr>
        <w:pStyle w:val="NormalWeb"/>
        <w:shd w:val="clear" w:color="auto" w:fill="FFFFFF"/>
        <w:spacing w:before="0" w:beforeAutospacing="0" w:after="150" w:afterAutospacing="0" w:line="240" w:lineRule="atLeast"/>
        <w:ind w:firstLine="1400"/>
        <w:jc w:val="both"/>
        <w:rPr>
          <w:rFonts w:ascii="Helvetica" w:hAnsi="Helvetica" w:cs="Helvetica"/>
          <w:color w:val="555555"/>
          <w:sz w:val="23"/>
          <w:szCs w:val="23"/>
        </w:rPr>
      </w:pPr>
      <w:r>
        <w:rPr>
          <w:rFonts w:ascii="Sitka Text" w:hAnsi="Sitka Text" w:cs="Helvetica"/>
          <w:color w:val="000000"/>
        </w:rPr>
        <w:t>Por ello, la Suprema Corte de Justicia,</w:t>
      </w:r>
    </w:p>
    <w:p w14:paraId="3ACCCE0C" w14:textId="77777777" w:rsidR="00052541" w:rsidRDefault="00052541" w:rsidP="00052541">
      <w:pPr>
        <w:pStyle w:val="NormalWeb"/>
        <w:shd w:val="clear" w:color="auto" w:fill="FFFFFF"/>
        <w:spacing w:before="0" w:beforeAutospacing="0" w:after="150" w:afterAutospacing="0" w:line="240" w:lineRule="atLeast"/>
        <w:jc w:val="center"/>
        <w:rPr>
          <w:rFonts w:ascii="Helvetica" w:hAnsi="Helvetica" w:cs="Helvetica"/>
          <w:color w:val="555555"/>
          <w:sz w:val="23"/>
          <w:szCs w:val="23"/>
        </w:rPr>
      </w:pPr>
      <w:r>
        <w:rPr>
          <w:rFonts w:ascii="Sitka Text" w:hAnsi="Sitka Text" w:cs="Helvetica"/>
          <w:b/>
          <w:bCs/>
          <w:color w:val="000000"/>
        </w:rPr>
        <w:t>RESUELVE:</w:t>
      </w:r>
    </w:p>
    <w:p w14:paraId="5E09844A" w14:textId="77777777" w:rsidR="00052541" w:rsidRDefault="00052541" w:rsidP="00052541">
      <w:pPr>
        <w:pStyle w:val="NormalWeb"/>
        <w:shd w:val="clear" w:color="auto" w:fill="FFFFFF"/>
        <w:spacing w:before="0" w:beforeAutospacing="0" w:after="150" w:afterAutospacing="0" w:line="240" w:lineRule="atLeast"/>
        <w:ind w:firstLine="1400"/>
        <w:jc w:val="both"/>
        <w:rPr>
          <w:rFonts w:ascii="Helvetica" w:hAnsi="Helvetica" w:cs="Helvetica"/>
          <w:color w:val="555555"/>
          <w:sz w:val="23"/>
          <w:szCs w:val="23"/>
        </w:rPr>
      </w:pPr>
      <w:r>
        <w:rPr>
          <w:rFonts w:ascii="Sitka Text" w:hAnsi="Sitka Text" w:cs="Helvetica"/>
          <w:color w:val="000000"/>
        </w:rPr>
        <w:t xml:space="preserve">I. Desestimar -por inadmisible- la queja articulada a favor de María Florencia </w:t>
      </w:r>
      <w:proofErr w:type="spellStart"/>
      <w:r>
        <w:rPr>
          <w:rFonts w:ascii="Sitka Text" w:hAnsi="Sitka Text" w:cs="Helvetica"/>
          <w:color w:val="000000"/>
        </w:rPr>
        <w:t>Valinoti</w:t>
      </w:r>
      <w:proofErr w:type="spellEnd"/>
      <w:r>
        <w:rPr>
          <w:rFonts w:ascii="Sitka Text" w:hAnsi="Sitka Text" w:cs="Helvetica"/>
          <w:color w:val="000000"/>
        </w:rPr>
        <w:t xml:space="preserve"> o a María Florencia </w:t>
      </w:r>
      <w:proofErr w:type="spellStart"/>
      <w:r>
        <w:rPr>
          <w:rFonts w:ascii="Sitka Text" w:hAnsi="Sitka Text" w:cs="Helvetica"/>
          <w:color w:val="000000"/>
        </w:rPr>
        <w:t>Valinotti</w:t>
      </w:r>
      <w:proofErr w:type="spellEnd"/>
      <w:r>
        <w:rPr>
          <w:rFonts w:ascii="Sitka Text" w:hAnsi="Sitka Text" w:cs="Helvetica"/>
          <w:color w:val="000000"/>
        </w:rPr>
        <w:t xml:space="preserve"> (art. 486 bis, CPP según ley 14.647).</w:t>
      </w:r>
    </w:p>
    <w:p w14:paraId="2E24F43C" w14:textId="77777777" w:rsidR="00052541" w:rsidRDefault="00052541" w:rsidP="00052541">
      <w:pPr>
        <w:pStyle w:val="NormalWeb"/>
        <w:shd w:val="clear" w:color="auto" w:fill="FFFFFF"/>
        <w:spacing w:before="0" w:beforeAutospacing="0" w:after="150" w:afterAutospacing="0" w:line="240" w:lineRule="atLeast"/>
        <w:ind w:firstLine="1400"/>
        <w:jc w:val="both"/>
        <w:rPr>
          <w:rFonts w:ascii="Helvetica" w:hAnsi="Helvetica" w:cs="Helvetica"/>
          <w:color w:val="555555"/>
          <w:sz w:val="23"/>
          <w:szCs w:val="23"/>
        </w:rPr>
      </w:pPr>
      <w:r>
        <w:rPr>
          <w:rFonts w:ascii="Sitka Text" w:hAnsi="Sitka Text" w:cs="Helvetica"/>
          <w:color w:val="000000"/>
        </w:rPr>
        <w:t xml:space="preserve">II. Declarar la </w:t>
      </w:r>
      <w:proofErr w:type="spellStart"/>
      <w:r>
        <w:rPr>
          <w:rFonts w:ascii="Sitka Text" w:hAnsi="Sitka Text" w:cs="Helvetica"/>
          <w:color w:val="000000"/>
        </w:rPr>
        <w:t>inoficiosidad</w:t>
      </w:r>
      <w:proofErr w:type="spellEnd"/>
      <w:r>
        <w:rPr>
          <w:rFonts w:ascii="Sitka Text" w:hAnsi="Sitka Text" w:cs="Helvetica"/>
          <w:color w:val="000000"/>
        </w:rPr>
        <w:t xml:space="preserve"> de la labor profesional desarrollada por el doctor Eduardo Aníbal </w:t>
      </w:r>
      <w:proofErr w:type="spellStart"/>
      <w:r>
        <w:rPr>
          <w:rFonts w:ascii="Sitka Text" w:hAnsi="Sitka Text" w:cs="Helvetica"/>
          <w:color w:val="000000"/>
        </w:rPr>
        <w:t>Vaira</w:t>
      </w:r>
      <w:proofErr w:type="spellEnd"/>
      <w:r>
        <w:rPr>
          <w:rFonts w:ascii="Sitka Text" w:hAnsi="Sitka Text" w:cs="Helvetica"/>
          <w:color w:val="000000"/>
        </w:rPr>
        <w:t xml:space="preserve"> ante esta instancia, a los fines regulatorios (art. 30, ley 14.967).</w:t>
      </w:r>
    </w:p>
    <w:p w14:paraId="5ABA641B" w14:textId="77777777" w:rsidR="00052541" w:rsidRDefault="00052541" w:rsidP="00052541">
      <w:pPr>
        <w:pStyle w:val="NormalWeb"/>
        <w:shd w:val="clear" w:color="auto" w:fill="FFFFFF"/>
        <w:spacing w:before="0" w:beforeAutospacing="0" w:after="150" w:afterAutospacing="0" w:line="240" w:lineRule="atLeast"/>
        <w:ind w:firstLine="1400"/>
        <w:jc w:val="both"/>
        <w:rPr>
          <w:rFonts w:ascii="Helvetica" w:hAnsi="Helvetica" w:cs="Helvetica"/>
          <w:color w:val="555555"/>
          <w:sz w:val="23"/>
          <w:szCs w:val="23"/>
        </w:rPr>
      </w:pPr>
      <w:r>
        <w:rPr>
          <w:rFonts w:ascii="Sitka Text" w:hAnsi="Sitka Text" w:cs="Helvetica"/>
          <w:color w:val="000000"/>
        </w:rPr>
        <w:t>Regístrese, notifíquese y, oportunamente, archívese (conf. resol Presidencia 10/20, art. 1 acápite 3 "c"; resol. SCBA 921/21).</w:t>
      </w:r>
    </w:p>
    <w:p w14:paraId="3B9F567F" w14:textId="77777777" w:rsidR="00052541" w:rsidRDefault="00052541" w:rsidP="00052541">
      <w:pPr>
        <w:pStyle w:val="NormalWeb"/>
        <w:shd w:val="clear" w:color="auto" w:fill="FFFFFF"/>
        <w:spacing w:before="0" w:beforeAutospacing="0" w:after="150" w:afterAutospacing="0" w:line="240" w:lineRule="atLeast"/>
        <w:jc w:val="both"/>
        <w:rPr>
          <w:rFonts w:ascii="Helvetica" w:hAnsi="Helvetica" w:cs="Helvetica"/>
          <w:color w:val="555555"/>
          <w:sz w:val="23"/>
          <w:szCs w:val="23"/>
        </w:rPr>
      </w:pPr>
      <w:r>
        <w:rPr>
          <w:rFonts w:ascii="Sitka Text" w:hAnsi="Sitka Text" w:cs="Helvetica"/>
          <w:color w:val="000000"/>
        </w:rPr>
        <w:t> </w:t>
      </w:r>
    </w:p>
    <w:p w14:paraId="6AC6152F" w14:textId="77777777" w:rsidR="00052541" w:rsidRDefault="00052541" w:rsidP="00052541">
      <w:pPr>
        <w:pStyle w:val="NormalWeb"/>
        <w:shd w:val="clear" w:color="auto" w:fill="FFFFFF"/>
        <w:spacing w:before="0" w:beforeAutospacing="0" w:after="150" w:afterAutospacing="0" w:line="240" w:lineRule="atLeast"/>
        <w:jc w:val="both"/>
        <w:rPr>
          <w:rFonts w:ascii="Helvetica" w:hAnsi="Helvetica" w:cs="Helvetica"/>
          <w:color w:val="555555"/>
          <w:sz w:val="23"/>
          <w:szCs w:val="23"/>
        </w:rPr>
      </w:pPr>
      <w:r>
        <w:rPr>
          <w:rFonts w:ascii="Sitka Text" w:hAnsi="Sitka Text" w:cs="Helvetica"/>
          <w:color w:val="000000"/>
        </w:rPr>
        <w:t>Suscripto por el Actuario interviniente, en la ciudad de La Plata, en la fecha indicada en la constancia de la firma digital (Ac. SCBA 3971/20). </w:t>
      </w:r>
    </w:p>
    <w:p w14:paraId="2D47E52B" w14:textId="77777777" w:rsidR="00CE7273" w:rsidRDefault="00CE7273"/>
    <w:sectPr w:rsidR="00CE7273" w:rsidSect="00F25632">
      <w:pgSz w:w="11906" w:h="16838" w:code="9"/>
      <w:pgMar w:top="2659" w:right="851" w:bottom="1718" w:left="2835" w:header="1701" w:footer="1021"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tka Text">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541"/>
    <w:rsid w:val="00052541"/>
    <w:rsid w:val="001F68B5"/>
    <w:rsid w:val="00416B12"/>
    <w:rsid w:val="004F4A9F"/>
    <w:rsid w:val="00B63308"/>
    <w:rsid w:val="00CE7273"/>
    <w:rsid w:val="00F25632"/>
    <w:rsid w:val="00FF5FC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63144"/>
  <w15:chartTrackingRefBased/>
  <w15:docId w15:val="{97EFF0B1-794B-4A10-B547-433D3826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52541"/>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07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785</Words>
  <Characters>4322</Characters>
  <Application>Microsoft Office Word</Application>
  <DocSecurity>0</DocSecurity>
  <Lines>36</Lines>
  <Paragraphs>10</Paragraphs>
  <ScaleCrop>false</ScaleCrop>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Rossello</dc:creator>
  <cp:keywords/>
  <dc:description/>
  <cp:lastModifiedBy>Franco Rossello</cp:lastModifiedBy>
  <cp:revision>1</cp:revision>
  <dcterms:created xsi:type="dcterms:W3CDTF">2025-07-04T14:51:00Z</dcterms:created>
  <dcterms:modified xsi:type="dcterms:W3CDTF">2025-07-04T14:52:00Z</dcterms:modified>
</cp:coreProperties>
</file>